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rPr>
          <w:rFonts w:ascii="Calibri" w:cs="Calibri" w:eastAsia="Calibri" w:hAnsi="Calibri"/>
          <w:b/>
          <w:bCs/>
          <w:color w:val="996220"/>
          <w:spacing w:val="30"/>
          <w:sz w:val="20"/>
          <w:szCs w:val="20"/>
        </w:rPr>
        <w:t xml:space="preserve">WORKSHOP GUIDE</w:t>
      </w:r>
    </w:p>
    <w:p>
      <w:pPr>
        <w:spacing w:after="80" w:before="120"/>
      </w:pPr>
      <w:r>
        <w:rPr>
          <w:rFonts w:ascii="Cambria" w:cs="Cambria" w:eastAsia="Cambria" w:hAnsi="Cambria"/>
          <w:b/>
          <w:bCs/>
          <w:color w:val="0D2849"/>
          <w:sz w:val="56"/>
          <w:szCs w:val="56"/>
        </w:rPr>
        <w:t xml:space="preserve">Strategic Themes</w:t>
      </w:r>
    </w:p>
    <w:p>
      <w:pPr>
        <w:spacing w:after="320"/>
      </w:pPr>
      <w:r>
        <w:rPr>
          <w:rFonts w:ascii="Calibri" w:cs="Calibri" w:eastAsia="Calibri" w:hAnsi="Calibri"/>
          <w:color w:val="996220"/>
          <w:sz w:val="28"/>
          <w:szCs w:val="28"/>
        </w:rPr>
        <w:t xml:space="preserve">Facilitator Guide</w:t>
      </w:r>
    </w:p>
    <w:p>
      <w:pPr>
        <w:spacing w:after="160"/>
      </w:pPr>
      <w:r>
        <w:rPr>
          <w:rFonts w:ascii="Calibri" w:cs="Calibri" w:eastAsia="Calibri" w:hAnsi="Calibri"/>
          <w:color w:val="222222"/>
          <w:sz w:val="22"/>
          <w:szCs w:val="22"/>
        </w:rPr>
        <w:t xml:space="preserve">Translate enterprise strategy into a small set of shared, measurable themes that align Agile Release Trains and guide portfolio investment. This guide walks a facilitator through preparing, running, and following up on a Strategic Themes Workshop.</w:t>
      </w:r>
    </w:p>
    <w:p>
      <w:pPr>
        <w:pBdr>
          <w:bottom w:val="single" w:color="CBD1D7" w:sz="6" w:space="1"/>
        </w:pBdr>
        <w:spacing w:after="200"/>
      </w:pPr>
    </w:p>
    <w:p>
      <w:pPr>
        <w:pStyle w:val="Heading1"/>
        <w:spacing w:after="160" w:before="320"/>
      </w:pPr>
      <w:r>
        <w:rPr>
          <w:rFonts w:ascii="Cambria" w:cs="Cambria" w:eastAsia="Cambria" w:hAnsi="Cambria"/>
          <w:b/>
          <w:bCs/>
          <w:color w:val="0D2849"/>
          <w:sz w:val="30"/>
          <w:szCs w:val="30"/>
        </w:rPr>
        <w:t xml:space="preserve">What Are Strategic Themes?</w:t>
      </w:r>
    </w:p>
    <w:p>
      <w:pPr>
        <w:spacing w:after="160"/>
      </w:pPr>
      <w:r>
        <w:rPr>
          <w:rFonts w:ascii="Calibri" w:cs="Calibri" w:eastAsia="Calibri" w:hAnsi="Calibri"/>
          <w:color w:val="222222"/>
          <w:sz w:val="22"/>
          <w:szCs w:val="22"/>
        </w:rPr>
        <w:t xml:space="preserve">Strategic Themes are high-level business objectives that serve as a critical link between an organization's overarching strategy and the execution of its Agile initiatives, particularly within the Scaled Agile Framework (SAFe). These themes provide essential direction and alignment across Agile Release Trains (ARTs), ensuring that all teams are working toward common enterprise goals.</w:t>
      </w:r>
    </w:p>
    <w:p>
      <w:pPr>
        <w:spacing w:after="160"/>
      </w:pPr>
      <w:r>
        <w:rPr>
          <w:rFonts w:ascii="Calibri" w:cs="Calibri" w:eastAsia="Calibri" w:hAnsi="Calibri"/>
          <w:color w:val="222222"/>
          <w:sz w:val="22"/>
          <w:szCs w:val="22"/>
        </w:rPr>
        <w:t xml:space="preserve">Derived from the broader enterprise strategy, Strategic Themes reflect key market conditions, customer needs, and competitive positioning. They influence the prioritization of work within the portfolio backlog, guide investment decisions, and help shape the development of portfolio epics and value streams.</w:t>
      </w:r>
    </w:p>
    <w:p>
      <w:pPr>
        <w:spacing w:after="160"/>
      </w:pPr>
      <w:r>
        <w:rPr>
          <w:rFonts w:ascii="Calibri" w:cs="Calibri" w:eastAsia="Calibri" w:hAnsi="Calibri"/>
          <w:color w:val="222222"/>
          <w:sz w:val="22"/>
          <w:szCs w:val="22"/>
        </w:rPr>
        <w:t xml:space="preserve">By supporting Lean Budgeting, Strategic Themes enable organizations to allocate resources effectively based on strategic importance. They are often tied to Objectives and Key Results (OKRs), allowing for measurable progress tracking across the organization.</w:t>
      </w:r>
    </w:p>
    <w:p>
      <w:pPr>
        <w:pStyle w:val="Heading2"/>
        <w:spacing w:after="120" w:before="240"/>
      </w:pPr>
      <w:r>
        <w:rPr>
          <w:rFonts w:ascii="Cambria" w:cs="Cambria" w:eastAsia="Cambria" w:hAnsi="Cambria"/>
          <w:b/>
          <w:bCs/>
          <w:color w:val="0D2849"/>
          <w:sz w:val="24"/>
          <w:szCs w:val="24"/>
        </w:rPr>
        <w:t xml:space="preserve">When to Use This Workshop</w:t>
      </w:r>
    </w:p>
    <w:p>
      <w:pPr>
        <w:spacing w:after="160"/>
      </w:pPr>
      <w:r>
        <w:rPr>
          <w:rFonts w:ascii="Calibri" w:cs="Calibri" w:eastAsia="Calibri" w:hAnsi="Calibri"/>
          <w:color w:val="222222"/>
          <w:sz w:val="22"/>
          <w:szCs w:val="22"/>
        </w:rPr>
        <w:t xml:space="preserve">Run a Strategic Themes Workshop at the start of a planning horizon (annually, or ahead of a Program Increment) whenever leadership needs to translate strategy into a small number of themes that portfolio and ART leaders can act on — particularly after a shift in market conditions, a new competitive threat, or a change in enterprise strategy that hasn't yet been reflected in the portfolio backlog.</w:t>
      </w:r>
    </w:p>
    <w:p>
      <w:pPr>
        <w:pStyle w:val="Heading1"/>
        <w:spacing w:after="160" w:before="320"/>
      </w:pPr>
      <w:r>
        <w:rPr>
          <w:rFonts w:ascii="Cambria" w:cs="Cambria" w:eastAsia="Cambria" w:hAnsi="Cambria"/>
          <w:b/>
          <w:bCs/>
          <w:color w:val="0D2849"/>
          <w:sz w:val="30"/>
          <w:szCs w:val="30"/>
        </w:rPr>
        <w:t xml:space="preserve">Roles and Responsibilities</w:t>
      </w:r>
    </w:p>
    <w:p>
      <w:pPr>
        <w:spacing w:after="160"/>
      </w:pPr>
      <w:r>
        <w:rPr>
          <w:rFonts w:ascii="Calibri" w:cs="Calibri" w:eastAsia="Calibri" w:hAnsi="Calibri"/>
          <w:color w:val="222222"/>
          <w:sz w:val="22"/>
          <w:szCs w:val="22"/>
        </w:rPr>
        <w:t xml:space="preserve">Recommended headcount is 6–12 participants — senior enough to speak for enterprise strategy, small enough to reach real alignment in one session.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pct" w:w="50%"/>
            <w:shd w:fill="0D2849"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Role</w:t>
            </w:r>
          </w:p>
        </w:tc>
        <w:tc>
          <w:tcPr>
            <w:tcW w:type="pct" w:w="50%"/>
            <w:shd w:fill="0D2849"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Responsibilities &amp; Facilitator Tip</w:t>
            </w:r>
          </w:p>
        </w:tc>
      </w:tr>
      <w:tr>
        <w:tc>
          <w:tcPr>
            <w:tcW w:type="pct" w:w="50%"/>
            <w:shd w:fill="F7F3EC" w:val="clear"/>
            <w:tcMar>
              <w:top w:type="dxa" w:w="120"/>
              <w:left w:type="dxa" w:w="120"/>
              <w:bottom w:type="dxa" w:w="120"/>
              <w:right w:type="dxa" w:w="120"/>
            </w:tcMar>
          </w:tcPr>
          <w:p>
            <w:r>
              <w:rPr>
                <w:rFonts w:ascii="Calibri" w:cs="Calibri" w:eastAsia="Calibri" w:hAnsi="Calibri"/>
                <w:b/>
                <w:bCs/>
                <w:color w:val="0D2849"/>
                <w:sz w:val="20"/>
                <w:szCs w:val="20"/>
              </w:rPr>
              <w:t xml:space="preserve">Facilitator</w:t>
            </w:r>
          </w:p>
        </w:tc>
        <w:tc>
          <w:tcPr>
            <w:tcW w:type="pct" w:w="50%"/>
            <w:shd w:fill="F7F3EC" w:val="clear"/>
            <w:tcMar>
              <w:top w:type="dxa" w:w="120"/>
              <w:left w:type="dxa" w:w="120"/>
              <w:bottom w:type="dxa" w:w="120"/>
              <w:right w:type="dxa" w:w="120"/>
            </w:tcMar>
          </w:tcPr>
          <w:p>
            <w:pPr>
              <w:spacing w:after="80"/>
            </w:pPr>
            <w:r>
              <w:rPr>
                <w:rFonts w:ascii="Calibri" w:cs="Calibri" w:eastAsia="Calibri" w:hAnsi="Calibri"/>
                <w:color w:val="222222"/>
                <w:sz w:val="20"/>
                <w:szCs w:val="20"/>
              </w:rPr>
              <w:t xml:space="preserve">Guides the group from individual priorities to a small set of shared, measurable themes. Typically a Lean-Agile Coach, RTE, or senior Agile Coach.</w:t>
            </w:r>
          </w:p>
          <w:p>
            <w:r>
              <w:rPr>
                <w:rFonts w:ascii="Calibri" w:cs="Calibri" w:eastAsia="Calibri" w:hAnsi="Calibri"/>
                <w:color w:val="996220"/>
                <w:sz w:val="18"/>
                <w:szCs w:val="18"/>
              </w:rPr>
              <w:t xml:space="preserve">Stay neutral on which themes matter most. Your job is to help the group converge — not to pick winners.</w:t>
            </w:r>
          </w:p>
        </w:tc>
      </w:tr>
      <w:tr>
        <w:tc>
          <w:tcPr>
            <w:tcW w:type="pct" w:w="50%"/>
            <w:shd w:fill="FFFFFF" w:val="clear"/>
            <w:tcMar>
              <w:top w:type="dxa" w:w="120"/>
              <w:left w:type="dxa" w:w="120"/>
              <w:bottom w:type="dxa" w:w="120"/>
              <w:right w:type="dxa" w:w="120"/>
            </w:tcMar>
          </w:tcPr>
          <w:p>
            <w:r>
              <w:rPr>
                <w:rFonts w:ascii="Calibri" w:cs="Calibri" w:eastAsia="Calibri" w:hAnsi="Calibri"/>
                <w:b/>
                <w:bCs/>
                <w:color w:val="0D2849"/>
                <w:sz w:val="20"/>
                <w:szCs w:val="20"/>
              </w:rPr>
              <w:t xml:space="preserve">Executive Sponsor(s)</w:t>
            </w:r>
          </w:p>
        </w:tc>
        <w:tc>
          <w:tcPr>
            <w:tcW w:type="pct" w:w="50%"/>
            <w:shd w:fill="FFFFFF" w:val="clear"/>
            <w:tcMar>
              <w:top w:type="dxa" w:w="120"/>
              <w:left w:type="dxa" w:w="120"/>
              <w:bottom w:type="dxa" w:w="120"/>
              <w:right w:type="dxa" w:w="120"/>
            </w:tcMar>
          </w:tcPr>
          <w:p>
            <w:pPr>
              <w:spacing w:after="80"/>
            </w:pPr>
            <w:r>
              <w:rPr>
                <w:rFonts w:ascii="Calibri" w:cs="Calibri" w:eastAsia="Calibri" w:hAnsi="Calibri"/>
                <w:color w:val="222222"/>
                <w:sz w:val="20"/>
                <w:szCs w:val="20"/>
              </w:rPr>
              <w:t xml:space="preserve">Bring the enterprise strategic plan, market context, and final authority on theme wording and priority. Their presence is what makes the themes credible downstream.</w:t>
            </w:r>
          </w:p>
          <w:p>
            <w:r>
              <w:rPr>
                <w:rFonts w:ascii="Calibri" w:cs="Calibri" w:eastAsia="Calibri" w:hAnsi="Calibri"/>
                <w:color w:val="996220"/>
                <w:sz w:val="18"/>
                <w:szCs w:val="18"/>
              </w:rPr>
              <w:t xml:space="preserve">Without executive participation, themes drift into generic aspiration statements no ART can act on.</w:t>
            </w:r>
          </w:p>
        </w:tc>
      </w:tr>
      <w:tr>
        <w:tc>
          <w:tcPr>
            <w:tcW w:type="pct" w:w="50%"/>
            <w:shd w:fill="F7F3EC" w:val="clear"/>
            <w:tcMar>
              <w:top w:type="dxa" w:w="120"/>
              <w:left w:type="dxa" w:w="120"/>
              <w:bottom w:type="dxa" w:w="120"/>
              <w:right w:type="dxa" w:w="120"/>
            </w:tcMar>
          </w:tcPr>
          <w:p>
            <w:r>
              <w:rPr>
                <w:rFonts w:ascii="Calibri" w:cs="Calibri" w:eastAsia="Calibri" w:hAnsi="Calibri"/>
                <w:b/>
                <w:bCs/>
                <w:color w:val="0D2849"/>
                <w:sz w:val="20"/>
                <w:szCs w:val="20"/>
              </w:rPr>
              <w:t xml:space="preserve">Portfolio / Value Stream Leads</w:t>
            </w:r>
          </w:p>
        </w:tc>
        <w:tc>
          <w:tcPr>
            <w:tcW w:type="pct" w:w="50%"/>
            <w:shd w:fill="F7F3EC" w:val="clear"/>
            <w:tcMar>
              <w:top w:type="dxa" w:w="120"/>
              <w:left w:type="dxa" w:w="120"/>
              <w:bottom w:type="dxa" w:w="120"/>
              <w:right w:type="dxa" w:w="120"/>
            </w:tcMar>
          </w:tcPr>
          <w:p>
            <w:pPr>
              <w:spacing w:after="80"/>
            </w:pPr>
            <w:r>
              <w:rPr>
                <w:rFonts w:ascii="Calibri" w:cs="Calibri" w:eastAsia="Calibri" w:hAnsi="Calibri"/>
                <w:color w:val="222222"/>
                <w:sz w:val="20"/>
                <w:szCs w:val="20"/>
              </w:rPr>
              <w:t xml:space="preserve">Translate themes into implications for the portfolio backlog, Lean Budgeting, and ART investment. They connect strategy to funding.</w:t>
            </w:r>
          </w:p>
          <w:p>
            <w:r>
              <w:rPr>
                <w:rFonts w:ascii="Calibri" w:cs="Calibri" w:eastAsia="Calibri" w:hAnsi="Calibri"/>
                <w:color w:val="996220"/>
                <w:sz w:val="18"/>
                <w:szCs w:val="18"/>
              </w:rPr>
              <w:t xml:space="preserve">Push for specificity — a theme that can't guide a budgeting or prioritization decision isn't finished yet.</w:t>
            </w:r>
          </w:p>
        </w:tc>
      </w:tr>
      <w:tr>
        <w:tc>
          <w:tcPr>
            <w:tcW w:type="pct" w:w="50%"/>
            <w:shd w:fill="FFFFFF" w:val="clear"/>
            <w:tcMar>
              <w:top w:type="dxa" w:w="120"/>
              <w:left w:type="dxa" w:w="120"/>
              <w:bottom w:type="dxa" w:w="120"/>
              <w:right w:type="dxa" w:w="120"/>
            </w:tcMar>
          </w:tcPr>
          <w:p>
            <w:r>
              <w:rPr>
                <w:rFonts w:ascii="Calibri" w:cs="Calibri" w:eastAsia="Calibri" w:hAnsi="Calibri"/>
                <w:b/>
                <w:bCs/>
                <w:color w:val="0D2849"/>
                <w:sz w:val="20"/>
                <w:szCs w:val="20"/>
              </w:rPr>
              <w:t xml:space="preserve">RTEs / Product Managers</w:t>
            </w:r>
          </w:p>
        </w:tc>
        <w:tc>
          <w:tcPr>
            <w:tcW w:type="pct" w:w="50%"/>
            <w:shd w:fill="FFFFFF" w:val="clear"/>
            <w:tcMar>
              <w:top w:type="dxa" w:w="120"/>
              <w:left w:type="dxa" w:w="120"/>
              <w:bottom w:type="dxa" w:w="120"/>
              <w:right w:type="dxa" w:w="120"/>
            </w:tcMar>
          </w:tcPr>
          <w:p>
            <w:pPr>
              <w:spacing w:after="80"/>
            </w:pPr>
            <w:r>
              <w:rPr>
                <w:rFonts w:ascii="Calibri" w:cs="Calibri" w:eastAsia="Calibri" w:hAnsi="Calibri"/>
                <w:color w:val="222222"/>
                <w:sz w:val="20"/>
                <w:szCs w:val="20"/>
              </w:rPr>
              <w:t xml:space="preserve">Represent the execution reality of the ARTs. Flag when a proposed theme is too broad, too narrow, or not measurable.</w:t>
            </w:r>
          </w:p>
          <w:p>
            <w:r>
              <w:rPr>
                <w:rFonts w:ascii="Calibri" w:cs="Calibri" w:eastAsia="Calibri" w:hAnsi="Calibri"/>
                <w:color w:val="996220"/>
                <w:sz w:val="18"/>
                <w:szCs w:val="18"/>
              </w:rPr>
              <w:t xml:space="preserve">Their pushback early prevents themes that sound good but can't be operationalized.</w:t>
            </w:r>
          </w:p>
        </w:tc>
      </w:tr>
    </w:tbl>
    <w:p>
      <w:r>
        <w:br w:type="page"/>
      </w:r>
    </w:p>
    <w:p>
      <w:pPr>
        <w:pStyle w:val="Heading1"/>
        <w:spacing w:after="160" w:before="320"/>
      </w:pPr>
      <w:r>
        <w:rPr>
          <w:rFonts w:ascii="Cambria" w:cs="Cambria" w:eastAsia="Cambria" w:hAnsi="Cambria"/>
          <w:b/>
          <w:bCs/>
          <w:color w:val="0D2849"/>
          <w:sz w:val="30"/>
          <w:szCs w:val="30"/>
        </w:rPr>
        <w:t xml:space="preserve">Preparing for the Workshop</w:t>
      </w:r>
    </w:p>
    <w:p>
      <w:pPr>
        <w:spacing w:after="160"/>
      </w:pPr>
      <w:r>
        <w:rPr>
          <w:rFonts w:ascii="Calibri" w:cs="Calibri" w:eastAsia="Calibri" w:hAnsi="Calibri"/>
          <w:color w:val="222222"/>
          <w:sz w:val="22"/>
          <w:szCs w:val="22"/>
        </w:rPr>
        <w:t xml:space="preserve">Strategic Themes carry real weight downstream — they will shape budgeting and backlog decisions for a full planning horizon. Preparation determines whether the session produces themes the organization can act on, or a list that reads well and changes nothing.</w:t>
      </w:r>
    </w:p>
    <w:p>
      <w:pPr>
        <w:pStyle w:val="Heading2"/>
        <w:spacing w:after="120" w:before="240"/>
      </w:pPr>
      <w:r>
        <w:rPr>
          <w:rFonts w:ascii="Cambria" w:cs="Cambria" w:eastAsia="Cambria" w:hAnsi="Cambria"/>
          <w:b/>
          <w:bCs/>
          <w:color w:val="0D2849"/>
          <w:sz w:val="24"/>
          <w:szCs w:val="24"/>
        </w:rPr>
        <w:t xml:space="preserve">Preparation Checklist</w:t>
      </w:r>
    </w:p>
    <w:p>
      <w:pPr>
        <w:pStyle w:val="ListParagraph"/>
        <w:numPr>
          <w:ilvl w:val="0"/>
          <w:numId w:val="2"/>
        </w:numPr>
        <w:spacing w:after="90"/>
      </w:pPr>
      <w:r>
        <w:rPr>
          <w:rFonts w:ascii="Calibri" w:cs="Calibri" w:eastAsia="Calibri" w:hAnsi="Calibri"/>
          <w:color w:val="222222"/>
          <w:sz w:val="22"/>
          <w:szCs w:val="22"/>
        </w:rPr>
        <w:t xml:space="preserve">Gather and review the current enterprise strategic plan, annual objectives, and any market or competitive analysis available</w:t>
      </w:r>
    </w:p>
    <w:p>
      <w:pPr>
        <w:pStyle w:val="ListParagraph"/>
        <w:numPr>
          <w:ilvl w:val="0"/>
          <w:numId w:val="2"/>
        </w:numPr>
        <w:spacing w:after="90"/>
      </w:pPr>
      <w:r>
        <w:rPr>
          <w:rFonts w:ascii="Calibri" w:cs="Calibri" w:eastAsia="Calibri" w:hAnsi="Calibri"/>
          <w:color w:val="222222"/>
          <w:sz w:val="22"/>
          <w:szCs w:val="22"/>
        </w:rPr>
        <w:t xml:space="preserve">Confirm executive participation and secure commitment from senior leadership before scheduling the session</w:t>
      </w:r>
    </w:p>
    <w:p>
      <w:pPr>
        <w:pStyle w:val="ListParagraph"/>
        <w:numPr>
          <w:ilvl w:val="0"/>
          <w:numId w:val="2"/>
        </w:numPr>
        <w:spacing w:after="90"/>
      </w:pPr>
      <w:r>
        <w:rPr>
          <w:rFonts w:ascii="Calibri" w:cs="Calibri" w:eastAsia="Calibri" w:hAnsi="Calibri"/>
          <w:color w:val="222222"/>
          <w:sz w:val="22"/>
          <w:szCs w:val="22"/>
        </w:rPr>
        <w:t xml:space="preserve">Download and prepare the Strategic Themes Facilitator's Guide and Workshop Canvas</w:t>
      </w:r>
    </w:p>
    <w:p>
      <w:pPr>
        <w:pStyle w:val="ListParagraph"/>
        <w:numPr>
          <w:ilvl w:val="0"/>
          <w:numId w:val="2"/>
        </w:numPr>
        <w:spacing w:after="90"/>
      </w:pPr>
      <w:r>
        <w:rPr>
          <w:rFonts w:ascii="Calibri" w:cs="Calibri" w:eastAsia="Calibri" w:hAnsi="Calibri"/>
          <w:color w:val="222222"/>
          <w:sz w:val="22"/>
          <w:szCs w:val="22"/>
        </w:rPr>
        <w:t xml:space="preserve">Schedule the workshop — time, attendees, location, and access to collaboration tools</w:t>
      </w:r>
    </w:p>
    <w:p>
      <w:pPr>
        <w:pStyle w:val="ListParagraph"/>
        <w:numPr>
          <w:ilvl w:val="0"/>
          <w:numId w:val="2"/>
        </w:numPr>
        <w:spacing w:after="90"/>
      </w:pPr>
      <w:r>
        <w:rPr>
          <w:rFonts w:ascii="Calibri" w:cs="Calibri" w:eastAsia="Calibri" w:hAnsi="Calibri"/>
          <w:color w:val="222222"/>
          <w:sz w:val="22"/>
          <w:szCs w:val="22"/>
        </w:rPr>
        <w:t xml:space="preserve">Send a pre-read package including strategic context, market data, and any existing OKRs or business objectives</w:t>
      </w:r>
    </w:p>
    <w:p>
      <w:pPr>
        <w:pStyle w:val="ListParagraph"/>
        <w:numPr>
          <w:ilvl w:val="0"/>
          <w:numId w:val="2"/>
        </w:numPr>
        <w:spacing w:after="90"/>
      </w:pPr>
      <w:r>
        <w:rPr>
          <w:rFonts w:ascii="Calibri" w:cs="Calibri" w:eastAsia="Calibri" w:hAnsi="Calibri"/>
          <w:color w:val="222222"/>
          <w:sz w:val="22"/>
          <w:szCs w:val="22"/>
        </w:rPr>
        <w:t xml:space="preserve">Ask participants to come prepared with their perspective on the 2–3 most critical strategic priorities for the next planning horizon</w:t>
      </w:r>
    </w:p>
    <w:p>
      <w:pPr>
        <w:pStyle w:val="ListParagraph"/>
        <w:numPr>
          <w:ilvl w:val="0"/>
          <w:numId w:val="2"/>
        </w:numPr>
        <w:spacing w:after="90"/>
      </w:pPr>
      <w:r>
        <w:rPr>
          <w:rFonts w:ascii="Calibri" w:cs="Calibri" w:eastAsia="Calibri" w:hAnsi="Calibri"/>
          <w:color w:val="222222"/>
          <w:sz w:val="22"/>
          <w:szCs w:val="22"/>
        </w:rPr>
        <w:t xml:space="preserve">Confirm attendance 1–2 days prior and resolve any scheduling conflicts with executive participants</w:t>
      </w:r>
    </w:p>
    <w:p>
      <w:pPr>
        <w:pStyle w:val="Heading2"/>
        <w:spacing w:after="120" w:before="240"/>
      </w:pPr>
      <w:r>
        <w:rPr>
          <w:rFonts w:ascii="Cambria" w:cs="Cambria" w:eastAsia="Cambria" w:hAnsi="Cambria"/>
          <w:b/>
          <w:bCs/>
          <w:color w:val="0D2849"/>
          <w:sz w:val="24"/>
          <w:szCs w:val="24"/>
        </w:rPr>
        <w:t xml:space="preserve">Room and Technology Setup</w:t>
      </w:r>
    </w:p>
    <w:p>
      <w:pPr>
        <w:spacing w:after="160"/>
      </w:pPr>
      <w:r>
        <w:rPr>
          <w:rFonts w:ascii="Calibri" w:cs="Calibri" w:eastAsia="Calibri" w:hAnsi="Calibri"/>
          <w:color w:val="222222"/>
          <w:sz w:val="22"/>
          <w:szCs w:val="22"/>
        </w:rPr>
        <w:t xml:space="preserve">Physical Setup: use a whiteboard or large display for grouping priorities into candidate themes. Sticky notes work well for the Individual Priority Input step, since each participant needs to contribute before group discussion begins.</w:t>
      </w:r>
    </w:p>
    <w:p>
      <w:pPr>
        <w:spacing w:after="160"/>
      </w:pPr>
      <w:r>
        <w:rPr>
          <w:rFonts w:ascii="Calibri" w:cs="Calibri" w:eastAsia="Calibri" w:hAnsi="Calibri"/>
          <w:color w:val="222222"/>
          <w:sz w:val="22"/>
          <w:szCs w:val="22"/>
        </w:rPr>
        <w:t xml:space="preserve">Virtual Setup:</w:t>
      </w:r>
    </w:p>
    <w:p>
      <w:pPr>
        <w:pStyle w:val="ListParagraph"/>
        <w:numPr>
          <w:ilvl w:val="0"/>
          <w:numId w:val="2"/>
        </w:numPr>
        <w:spacing w:after="90"/>
      </w:pPr>
      <w:r>
        <w:rPr>
          <w:rFonts w:ascii="Calibri" w:cs="Calibri" w:eastAsia="Calibri" w:hAnsi="Calibri"/>
          <w:color w:val="222222"/>
          <w:sz w:val="22"/>
          <w:szCs w:val="22"/>
        </w:rPr>
        <w:t xml:space="preserve">Enable screen sharing and real-time editing in your collaboration tool</w:t>
      </w:r>
    </w:p>
    <w:p>
      <w:pPr>
        <w:pStyle w:val="ListParagraph"/>
        <w:numPr>
          <w:ilvl w:val="0"/>
          <w:numId w:val="2"/>
        </w:numPr>
        <w:spacing w:after="90"/>
      </w:pPr>
      <w:r>
        <w:rPr>
          <w:rFonts w:ascii="Calibri" w:cs="Calibri" w:eastAsia="Calibri" w:hAnsi="Calibri"/>
          <w:color w:val="222222"/>
          <w:sz w:val="22"/>
          <w:szCs w:val="22"/>
        </w:rPr>
        <w:t xml:space="preserve">Confirm Miro, Mural, or Lucid Charts board access for all participants</w:t>
      </w:r>
    </w:p>
    <w:p>
      <w:pPr>
        <w:pStyle w:val="ListParagraph"/>
        <w:numPr>
          <w:ilvl w:val="0"/>
          <w:numId w:val="2"/>
        </w:numPr>
        <w:spacing w:after="90"/>
      </w:pPr>
      <w:r>
        <w:rPr>
          <w:rFonts w:ascii="Calibri" w:cs="Calibri" w:eastAsia="Calibri" w:hAnsi="Calibri"/>
          <w:color w:val="222222"/>
          <w:sz w:val="22"/>
          <w:szCs w:val="22"/>
        </w:rPr>
        <w:t xml:space="preserve">Use a shared canvas so priority inputs are visible to the whole group before grouping begins</w:t>
      </w:r>
    </w:p>
    <w:p>
      <w:pPr>
        <w:pStyle w:val="ListParagraph"/>
        <w:numPr>
          <w:ilvl w:val="0"/>
          <w:numId w:val="2"/>
        </w:numPr>
        <w:spacing w:after="90"/>
      </w:pPr>
      <w:r>
        <w:rPr>
          <w:rFonts w:ascii="Calibri" w:cs="Calibri" w:eastAsia="Calibri" w:hAnsi="Calibri"/>
          <w:color w:val="222222"/>
          <w:sz w:val="22"/>
          <w:szCs w:val="22"/>
        </w:rPr>
        <w:t xml:space="preserve">Test all technology ahead of time — don't let setup consume executive time</w:t>
      </w:r>
    </w:p>
    <w:p>
      <w:pPr>
        <w:spacing w:after="160"/>
      </w:pPr>
      <w:r>
        <w:rPr>
          <w:rFonts w:ascii="Calibri" w:cs="Calibri" w:eastAsia="Calibri" w:hAnsi="Calibri"/>
          <w:color w:val="222222"/>
          <w:sz w:val="22"/>
          <w:szCs w:val="22"/>
        </w:rPr>
        <w:t xml:space="preserve">Participant Readiness: executive participants should arrive having already reviewed the strategic plan and market context sent in the pre-read. This session moves fastest when leaders show up with a point of view, not when they're seeing the material for the first time.</w:t>
      </w:r>
    </w:p>
    <w:p>
      <w:pPr>
        <w:pStyle w:val="Heading2"/>
        <w:spacing w:after="120" w:before="240"/>
      </w:pPr>
      <w:r>
        <w:rPr>
          <w:rFonts w:ascii="Cambria" w:cs="Cambria" w:eastAsia="Cambria" w:hAnsi="Cambria"/>
          <w:b/>
          <w:bCs/>
          <w:color w:val="0D2849"/>
          <w:sz w:val="24"/>
          <w:szCs w:val="24"/>
        </w:rPr>
        <w:t xml:space="preserve">Scheduling and Timing</w:t>
      </w:r>
    </w:p>
    <w:p>
      <w:pPr>
        <w:pStyle w:val="ListParagraph"/>
        <w:numPr>
          <w:ilvl w:val="0"/>
          <w:numId w:val="2"/>
        </w:numPr>
        <w:spacing w:after="90"/>
      </w:pPr>
      <w:r>
        <w:rPr>
          <w:rFonts w:ascii="Calibri" w:cs="Calibri" w:eastAsia="Calibri" w:hAnsi="Calibri"/>
          <w:color w:val="222222"/>
          <w:sz w:val="22"/>
          <w:szCs w:val="22"/>
        </w:rPr>
        <w:t xml:space="preserve">Run Strategic Themes Workshops at the start of a planning horizon, well ahead of PI Planning, so themes can inform Lean Budgeting and portfolio backlog decisions</w:t>
      </w:r>
    </w:p>
    <w:p>
      <w:pPr>
        <w:pStyle w:val="ListParagraph"/>
        <w:numPr>
          <w:ilvl w:val="0"/>
          <w:numId w:val="2"/>
        </w:numPr>
        <w:spacing w:after="90"/>
      </w:pPr>
      <w:r>
        <w:rPr>
          <w:rFonts w:ascii="Calibri" w:cs="Calibri" w:eastAsia="Calibri" w:hAnsi="Calibri"/>
          <w:color w:val="222222"/>
          <w:sz w:val="22"/>
          <w:szCs w:val="22"/>
        </w:rPr>
        <w:t xml:space="preserve">Allow 2–3 hours for the full session — rushing Theme Refinement or OKR Definition produces themes that can't survive contact with real prioritization trade-offs</w:t>
      </w:r>
    </w:p>
    <w:p>
      <w:pPr>
        <w:pStyle w:val="ListParagraph"/>
        <w:numPr>
          <w:ilvl w:val="0"/>
          <w:numId w:val="2"/>
        </w:numPr>
        <w:spacing w:after="90"/>
      </w:pPr>
      <w:r>
        <w:rPr>
          <w:rFonts w:ascii="Calibri" w:cs="Calibri" w:eastAsia="Calibri" w:hAnsi="Calibri"/>
          <w:color w:val="222222"/>
          <w:sz w:val="22"/>
          <w:szCs w:val="22"/>
        </w:rPr>
        <w:t xml:space="preserve">Limit the session to one planning horizon's worth of themes; revisit and refresh themes rather than accumulating them indefinitely</w:t>
      </w:r>
    </w:p>
    <w:p>
      <w:r>
        <w:br w:type="page"/>
      </w:r>
    </w:p>
    <w:p>
      <w:pPr>
        <w:pStyle w:val="Heading1"/>
        <w:spacing w:after="160" w:before="320"/>
      </w:pPr>
      <w:r>
        <w:rPr>
          <w:rFonts w:ascii="Cambria" w:cs="Cambria" w:eastAsia="Cambria" w:hAnsi="Cambria"/>
          <w:b/>
          <w:bCs/>
          <w:color w:val="0D2849"/>
          <w:sz w:val="30"/>
          <w:szCs w:val="30"/>
        </w:rPr>
        <w:t xml:space="preserve">Running the Workshop</w:t>
      </w:r>
    </w:p>
    <w:p>
      <w:pPr>
        <w:spacing w:after="160"/>
      </w:pPr>
      <w:r>
        <w:rPr>
          <w:rFonts w:ascii="Calibri" w:cs="Calibri" w:eastAsia="Calibri" w:hAnsi="Calibri"/>
          <w:color w:val="222222"/>
          <w:sz w:val="22"/>
          <w:szCs w:val="22"/>
        </w:rPr>
        <w:t xml:space="preserve">Facilitation here means moving a room of senior leaders from individual, sometimes competing, priorities to a small set of shared themes everyone can stand behind. Your role is to keep the group converging — not to let the session produce a theme for every priority in the room.</w:t>
      </w:r>
    </w:p>
    <w:p>
      <w:pPr>
        <w:pStyle w:val="ListParagraph"/>
        <w:numPr>
          <w:ilvl w:val="0"/>
          <w:numId w:val="2"/>
        </w:numPr>
        <w:spacing w:after="90"/>
      </w:pPr>
      <w:r>
        <w:rPr>
          <w:rFonts w:ascii="Calibri" w:cs="Calibri" w:eastAsia="Calibri" w:hAnsi="Calibri"/>
          <w:color w:val="222222"/>
          <w:sz w:val="22"/>
          <w:szCs w:val="22"/>
        </w:rPr>
        <w:t xml:space="preserve">Purpose — translate enterprise strategy into a small number of measurable themes that can guide portfolio and ART decisions for the planning horizon.</w:t>
      </w:r>
    </w:p>
    <w:p>
      <w:pPr>
        <w:pStyle w:val="ListParagraph"/>
        <w:numPr>
          <w:ilvl w:val="0"/>
          <w:numId w:val="2"/>
        </w:numPr>
        <w:spacing w:after="90"/>
      </w:pPr>
      <w:r>
        <w:rPr>
          <w:rFonts w:ascii="Calibri" w:cs="Calibri" w:eastAsia="Calibri" w:hAnsi="Calibri"/>
          <w:color w:val="222222"/>
          <w:sz w:val="22"/>
          <w:szCs w:val="22"/>
        </w:rPr>
        <w:t xml:space="preserve">Style — structured but candid. Individual input is captured without debate first; disagreement is worked through openly during refinement, not avoided.</w:t>
      </w:r>
    </w:p>
    <w:p>
      <w:pPr>
        <w:pStyle w:val="ListParagraph"/>
        <w:numPr>
          <w:ilvl w:val="0"/>
          <w:numId w:val="2"/>
        </w:numPr>
        <w:spacing w:after="90"/>
      </w:pPr>
      <w:r>
        <w:rPr>
          <w:rFonts w:ascii="Calibri" w:cs="Calibri" w:eastAsia="Calibri" w:hAnsi="Calibri"/>
          <w:color w:val="222222"/>
          <w:sz w:val="22"/>
          <w:szCs w:val="22"/>
        </w:rPr>
        <w:t xml:space="preserve">Outcome — 3–5 refined strategic themes, each with defined OKRs and a clear communication plan to the ARTs.</w:t>
      </w:r>
    </w:p>
    <w:p>
      <w:pPr>
        <w:spacing w:after="200"/>
      </w:pPr>
      <w:r>
        <w:rPr>
          <w:rFonts w:ascii="Calibri" w:cs="Calibri" w:eastAsia="Calibri" w:hAnsi="Calibri"/>
          <w:color w:val="996220"/>
          <w:sz w:val="20"/>
          <w:szCs w:val="20"/>
        </w:rPr>
        <w:t xml:space="preserve">Duration: most Strategic Themes workshops run 2–3 hours. Complex organizations with multiple business units may need a follow-up session to finish OKR definition and portfolio implications.</w:t>
      </w:r>
    </w:p>
    <w:p>
      <w:pPr>
        <w:pStyle w:val="Heading2"/>
        <w:spacing w:after="120" w:before="240"/>
      </w:pPr>
      <w:r>
        <w:rPr>
          <w:rFonts w:ascii="Cambria" w:cs="Cambria" w:eastAsia="Cambria" w:hAnsi="Cambria"/>
          <w:b/>
          <w:bCs/>
          <w:color w:val="0D2849"/>
          <w:sz w:val="24"/>
          <w:szCs w:val="24"/>
        </w:rPr>
        <w:t xml:space="preserve">Workshop Agenda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50"/>
        <w:gridCol w:w="8600"/>
      </w:tblGrid>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1</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Strategic Context Review</w:t>
            </w:r>
          </w:p>
          <w:p>
            <w:pPr>
              <w:pStyle w:val="ListParagraph"/>
              <w:numPr>
                <w:ilvl w:val="0"/>
                <w:numId w:val="2"/>
              </w:numPr>
              <w:spacing w:after="30"/>
            </w:pPr>
            <w:r>
              <w:rPr>
                <w:rFonts w:ascii="Calibri" w:cs="Calibri" w:eastAsia="Calibri" w:hAnsi="Calibri"/>
                <w:color w:val="222222"/>
                <w:sz w:val="20"/>
                <w:szCs w:val="20"/>
              </w:rPr>
              <w:t xml:space="preserve">Review the enterprise strategic plan, market conditions, and competitive landscape</w:t>
            </w:r>
          </w:p>
          <w:p>
            <w:pPr>
              <w:pStyle w:val="ListParagraph"/>
              <w:numPr>
                <w:ilvl w:val="0"/>
                <w:numId w:val="2"/>
              </w:numPr>
              <w:spacing w:after="30"/>
            </w:pPr>
            <w:r>
              <w:rPr>
                <w:rFonts w:ascii="Calibri" w:cs="Calibri" w:eastAsia="Calibri" w:hAnsi="Calibri"/>
                <w:color w:val="222222"/>
                <w:sz w:val="20"/>
                <w:szCs w:val="20"/>
              </w:rPr>
              <w:t xml:space="preserve">Surface any recent changes to organizational direction or business priorities</w:t>
            </w:r>
          </w:p>
        </w:tc>
      </w:tr>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2</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Individual Priority Input</w:t>
            </w:r>
          </w:p>
          <w:p>
            <w:pPr>
              <w:pStyle w:val="ListParagraph"/>
              <w:numPr>
                <w:ilvl w:val="0"/>
                <w:numId w:val="2"/>
              </w:numPr>
              <w:spacing w:after="30"/>
            </w:pPr>
            <w:r>
              <w:rPr>
                <w:rFonts w:ascii="Calibri" w:cs="Calibri" w:eastAsia="Calibri" w:hAnsi="Calibri"/>
                <w:color w:val="222222"/>
                <w:sz w:val="20"/>
                <w:szCs w:val="20"/>
              </w:rPr>
              <w:t xml:space="preserve">Each participant shares their view on the top 2–3 strategic priorities for the planning horizon</w:t>
            </w:r>
          </w:p>
          <w:p>
            <w:pPr>
              <w:pStyle w:val="ListParagraph"/>
              <w:numPr>
                <w:ilvl w:val="0"/>
                <w:numId w:val="2"/>
              </w:numPr>
              <w:spacing w:after="30"/>
            </w:pPr>
            <w:r>
              <w:rPr>
                <w:rFonts w:ascii="Calibri" w:cs="Calibri" w:eastAsia="Calibri" w:hAnsi="Calibri"/>
                <w:color w:val="222222"/>
                <w:sz w:val="20"/>
                <w:szCs w:val="20"/>
              </w:rPr>
              <w:t xml:space="preserve">Capture inputs without debate — discussion comes later</w:t>
            </w:r>
          </w:p>
        </w:tc>
      </w:tr>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3</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Theme Identification and Grouping</w:t>
            </w:r>
          </w:p>
          <w:p>
            <w:pPr>
              <w:pStyle w:val="ListParagraph"/>
              <w:numPr>
                <w:ilvl w:val="0"/>
                <w:numId w:val="2"/>
              </w:numPr>
              <w:spacing w:after="30"/>
            </w:pPr>
            <w:r>
              <w:rPr>
                <w:rFonts w:ascii="Calibri" w:cs="Calibri" w:eastAsia="Calibri" w:hAnsi="Calibri"/>
                <w:color w:val="222222"/>
                <w:sz w:val="20"/>
                <w:szCs w:val="20"/>
              </w:rPr>
              <w:t xml:space="preserve">Identify common threads and group related priorities into candidate themes</w:t>
            </w:r>
          </w:p>
          <w:p>
            <w:pPr>
              <w:pStyle w:val="ListParagraph"/>
              <w:numPr>
                <w:ilvl w:val="0"/>
                <w:numId w:val="2"/>
              </w:numPr>
              <w:spacing w:after="30"/>
            </w:pPr>
            <w:r>
              <w:rPr>
                <w:rFonts w:ascii="Calibri" w:cs="Calibri" w:eastAsia="Calibri" w:hAnsi="Calibri"/>
                <w:color w:val="222222"/>
                <w:sz w:val="20"/>
                <w:szCs w:val="20"/>
              </w:rPr>
              <w:t xml:space="preserve">Draft initial theme statements that are broad enough to guide multiple initiatives</w:t>
            </w:r>
          </w:p>
        </w:tc>
      </w:tr>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4</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Theme Refinement and Alignment</w:t>
            </w:r>
          </w:p>
          <w:p>
            <w:pPr>
              <w:pStyle w:val="ListParagraph"/>
              <w:numPr>
                <w:ilvl w:val="0"/>
                <w:numId w:val="2"/>
              </w:numPr>
              <w:spacing w:after="30"/>
            </w:pPr>
            <w:r>
              <w:rPr>
                <w:rFonts w:ascii="Calibri" w:cs="Calibri" w:eastAsia="Calibri" w:hAnsi="Calibri"/>
                <w:color w:val="222222"/>
                <w:sz w:val="20"/>
                <w:szCs w:val="20"/>
              </w:rPr>
              <w:t xml:space="preserve">Refine theme statements for clarity, strategic relevance, and measurability</w:t>
            </w:r>
          </w:p>
          <w:p>
            <w:pPr>
              <w:pStyle w:val="ListParagraph"/>
              <w:numPr>
                <w:ilvl w:val="0"/>
                <w:numId w:val="2"/>
              </w:numPr>
              <w:spacing w:after="30"/>
            </w:pPr>
            <w:r>
              <w:rPr>
                <w:rFonts w:ascii="Calibri" w:cs="Calibri" w:eastAsia="Calibri" w:hAnsi="Calibri"/>
                <w:color w:val="222222"/>
                <w:sz w:val="20"/>
                <w:szCs w:val="20"/>
              </w:rPr>
              <w:t xml:space="preserve">Resolve disagreements about priority and scope through open dialogue</w:t>
            </w:r>
          </w:p>
        </w:tc>
      </w:tr>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5</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OKR and Measurement Definition</w:t>
            </w:r>
          </w:p>
          <w:p>
            <w:pPr>
              <w:pStyle w:val="ListParagraph"/>
              <w:numPr>
                <w:ilvl w:val="0"/>
                <w:numId w:val="2"/>
              </w:numPr>
              <w:spacing w:after="30"/>
            </w:pPr>
            <w:r>
              <w:rPr>
                <w:rFonts w:ascii="Calibri" w:cs="Calibri" w:eastAsia="Calibri" w:hAnsi="Calibri"/>
                <w:color w:val="222222"/>
                <w:sz w:val="20"/>
                <w:szCs w:val="20"/>
              </w:rPr>
              <w:t xml:space="preserve">Define 1–3 key results for each theme that will signal strategic progress</w:t>
            </w:r>
          </w:p>
          <w:p>
            <w:pPr>
              <w:pStyle w:val="ListParagraph"/>
              <w:numPr>
                <w:ilvl w:val="0"/>
                <w:numId w:val="2"/>
              </w:numPr>
              <w:spacing w:after="30"/>
            </w:pPr>
            <w:r>
              <w:rPr>
                <w:rFonts w:ascii="Calibri" w:cs="Calibri" w:eastAsia="Calibri" w:hAnsi="Calibri"/>
                <w:color w:val="222222"/>
                <w:sz w:val="20"/>
                <w:szCs w:val="20"/>
              </w:rPr>
              <w:t xml:space="preserve">Confirm measurement frequency and ownership</w:t>
            </w:r>
          </w:p>
        </w:tc>
      </w:tr>
      <w:tr>
        <w:tc>
          <w:tcPr>
            <w:tcW w:type="pct" w:w="8%"/>
            <w:shd w:fill="F6C882" w:val="clear"/>
            <w:tcMar>
              <w:top w:type="dxa" w:w="100"/>
              <w:left w:type="dxa" w:w="80"/>
              <w:bottom w:type="dxa" w:w="100"/>
              <w:right w:type="dxa" w:w="80"/>
            </w:tcMar>
            <w:vAlign w:val="center"/>
          </w:tcPr>
          <w:p>
            <w:pPr>
              <w:jc w:val="center"/>
            </w:pPr>
            <w:r>
              <w:rPr>
                <w:rFonts w:ascii="Cambria" w:cs="Cambria" w:eastAsia="Cambria" w:hAnsi="Cambria"/>
                <w:b/>
                <w:bCs/>
                <w:color w:val="0D2849"/>
                <w:sz w:val="22"/>
                <w:szCs w:val="22"/>
              </w:rPr>
              <w:t xml:space="preserve">6</w:t>
            </w:r>
          </w:p>
        </w:tc>
        <w:tc>
          <w:tcPr>
            <w:tcW w:type="pct" w:w="92%"/>
            <w:shd w:fill="F7F3EC" w:val="clear"/>
            <w:tcMar>
              <w:top w:type="dxa" w:w="100"/>
              <w:left w:type="dxa" w:w="160"/>
              <w:bottom w:type="dxa" w:w="100"/>
              <w:right w:type="dxa" w:w="160"/>
            </w:tcMar>
          </w:tcPr>
          <w:p>
            <w:pPr>
              <w:spacing w:after="60"/>
            </w:pPr>
            <w:r>
              <w:rPr>
                <w:rFonts w:ascii="Calibri" w:cs="Calibri" w:eastAsia="Calibri" w:hAnsi="Calibri"/>
                <w:b/>
                <w:bCs/>
                <w:color w:val="0D2849"/>
                <w:sz w:val="22"/>
                <w:szCs w:val="22"/>
              </w:rPr>
              <w:t xml:space="preserve">Portfolio Implications Review</w:t>
            </w:r>
          </w:p>
          <w:p>
            <w:pPr>
              <w:pStyle w:val="ListParagraph"/>
              <w:numPr>
                <w:ilvl w:val="0"/>
                <w:numId w:val="2"/>
              </w:numPr>
              <w:spacing w:after="30"/>
            </w:pPr>
            <w:r>
              <w:rPr>
                <w:rFonts w:ascii="Calibri" w:cs="Calibri" w:eastAsia="Calibri" w:hAnsi="Calibri"/>
                <w:color w:val="222222"/>
                <w:sz w:val="20"/>
                <w:szCs w:val="20"/>
              </w:rPr>
              <w:t xml:space="preserve">Discuss how each theme should influence portfolio backlog prioritization and ART investment</w:t>
            </w:r>
          </w:p>
          <w:p>
            <w:pPr>
              <w:pStyle w:val="ListParagraph"/>
              <w:numPr>
                <w:ilvl w:val="0"/>
                <w:numId w:val="2"/>
              </w:numPr>
              <w:spacing w:after="30"/>
            </w:pPr>
            <w:r>
              <w:rPr>
                <w:rFonts w:ascii="Calibri" w:cs="Calibri" w:eastAsia="Calibri" w:hAnsi="Calibri"/>
                <w:color w:val="222222"/>
                <w:sz w:val="20"/>
                <w:szCs w:val="20"/>
              </w:rPr>
              <w:t xml:space="preserve">Confirm communication plan for sharing themes with ARTs and teams</w:t>
            </w:r>
          </w:p>
        </w:tc>
      </w:tr>
    </w:tbl>
    <w:p>
      <w:r>
        <w:br w:type="page"/>
      </w:r>
    </w:p>
    <w:p>
      <w:pPr>
        <w:pStyle w:val="Heading2"/>
        <w:spacing w:after="120" w:before="240"/>
      </w:pPr>
      <w:r>
        <w:rPr>
          <w:rFonts w:ascii="Cambria" w:cs="Cambria" w:eastAsia="Cambria" w:hAnsi="Cambria"/>
          <w:b/>
          <w:bCs/>
          <w:color w:val="0D2849"/>
          <w:sz w:val="24"/>
          <w:szCs w:val="24"/>
        </w:rPr>
        <w:t xml:space="preserve">Common Anti-Patterns to Avoid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shd w:fill="FBEAE9" w:val="clear"/>
            <w:tcMar>
              <w:top w:type="dxa" w:w="120"/>
              <w:left w:type="dxa" w:w="160"/>
              <w:bottom w:type="dxa" w:w="120"/>
              <w:right w:type="dxa" w:w="160"/>
            </w:tcMar>
          </w:tcPr>
          <w:p>
            <w:pPr>
              <w:spacing w:after="40"/>
            </w:pPr>
            <w:r>
              <w:rPr>
                <w:rFonts w:ascii="Calibri" w:cs="Calibri" w:eastAsia="Calibri" w:hAnsi="Calibri"/>
                <w:b/>
                <w:bCs/>
                <w:color w:val="C0392B"/>
                <w:sz w:val="21"/>
                <w:szCs w:val="21"/>
              </w:rPr>
              <w:t xml:space="preserve">Themes Written as Vague Aspirations</w:t>
            </w:r>
          </w:p>
          <w:p>
            <w:r>
              <w:rPr>
                <w:rFonts w:ascii="Calibri" w:cs="Calibri" w:eastAsia="Calibri" w:hAnsi="Calibri"/>
                <w:color w:val="5A6A80"/>
                <w:sz w:val="20"/>
                <w:szCs w:val="20"/>
              </w:rPr>
              <w:t xml:space="preserve">A theme like “Be more customer-centric” can't guide a backlog decision. Every theme statement should be specific enough that a portfolio lead could use it to say yes to one epic and no to another.</w:t>
            </w:r>
          </w:p>
        </w:tc>
      </w:tr>
      <w:tr>
        <w:tc>
          <w:tcPr>
            <w:tcW w:type="pct" w:w="100%"/>
            <w:shd w:fill="FBEAE9" w:val="clear"/>
            <w:tcMar>
              <w:top w:type="dxa" w:w="120"/>
              <w:left w:type="dxa" w:w="160"/>
              <w:bottom w:type="dxa" w:w="120"/>
              <w:right w:type="dxa" w:w="160"/>
            </w:tcMar>
          </w:tcPr>
          <w:p>
            <w:pPr>
              <w:spacing w:after="40"/>
            </w:pPr>
            <w:r>
              <w:rPr>
                <w:rFonts w:ascii="Calibri" w:cs="Calibri" w:eastAsia="Calibri" w:hAnsi="Calibri"/>
                <w:b/>
                <w:bCs/>
                <w:color w:val="C0392B"/>
                <w:sz w:val="21"/>
                <w:szCs w:val="21"/>
              </w:rPr>
              <w:t xml:space="preserve">Too Many Themes</w:t>
            </w:r>
          </w:p>
          <w:p>
            <w:r>
              <w:rPr>
                <w:rFonts w:ascii="Calibri" w:cs="Calibri" w:eastAsia="Calibri" w:hAnsi="Calibri"/>
                <w:color w:val="5A6A80"/>
                <w:sz w:val="20"/>
                <w:szCs w:val="20"/>
              </w:rPr>
              <w:t xml:space="preserve">More than 3–5 active strategic themes dilutes focus and makes prioritization meaningless — everything becomes strategic, so nothing is. Push the group to converge.</w:t>
            </w:r>
          </w:p>
        </w:tc>
      </w:tr>
      <w:tr>
        <w:tc>
          <w:tcPr>
            <w:tcW w:type="pct" w:w="100%"/>
            <w:shd w:fill="FBEAE9" w:val="clear"/>
            <w:tcMar>
              <w:top w:type="dxa" w:w="120"/>
              <w:left w:type="dxa" w:w="160"/>
              <w:bottom w:type="dxa" w:w="120"/>
              <w:right w:type="dxa" w:w="160"/>
            </w:tcMar>
          </w:tcPr>
          <w:p>
            <w:pPr>
              <w:spacing w:after="40"/>
            </w:pPr>
            <w:r>
              <w:rPr>
                <w:rFonts w:ascii="Calibri" w:cs="Calibri" w:eastAsia="Calibri" w:hAnsi="Calibri"/>
                <w:b/>
                <w:bCs/>
                <w:color w:val="C0392B"/>
                <w:sz w:val="21"/>
                <w:szCs w:val="21"/>
              </w:rPr>
              <w:t xml:space="preserve">Skipping Executive Participation</w:t>
            </w:r>
          </w:p>
          <w:p>
            <w:r>
              <w:rPr>
                <w:rFonts w:ascii="Calibri" w:cs="Calibri" w:eastAsia="Calibri" w:hAnsi="Calibri"/>
                <w:color w:val="5A6A80"/>
                <w:sz w:val="20"/>
                <w:szCs w:val="20"/>
              </w:rPr>
              <w:t xml:space="preserve">Themes drafted without the executive sponsor in the room lack the authority to survive contact with competing priorities later. Reschedule rather than proceed without them.</w:t>
            </w:r>
          </w:p>
        </w:tc>
      </w:tr>
      <w:tr>
        <w:tc>
          <w:tcPr>
            <w:tcW w:type="pct" w:w="100%"/>
            <w:shd w:fill="FBEAE9" w:val="clear"/>
            <w:tcMar>
              <w:top w:type="dxa" w:w="120"/>
              <w:left w:type="dxa" w:w="160"/>
              <w:bottom w:type="dxa" w:w="120"/>
              <w:right w:type="dxa" w:w="160"/>
            </w:tcMar>
          </w:tcPr>
          <w:p>
            <w:pPr>
              <w:spacing w:after="40"/>
            </w:pPr>
            <w:r>
              <w:rPr>
                <w:rFonts w:ascii="Calibri" w:cs="Calibri" w:eastAsia="Calibri" w:hAnsi="Calibri"/>
                <w:b/>
                <w:bCs/>
                <w:color w:val="C0392B"/>
                <w:sz w:val="21"/>
                <w:szCs w:val="21"/>
              </w:rPr>
              <w:t xml:space="preserve">No Measurable Key Results</w:t>
            </w:r>
          </w:p>
          <w:p>
            <w:r>
              <w:rPr>
                <w:rFonts w:ascii="Calibri" w:cs="Calibri" w:eastAsia="Calibri" w:hAnsi="Calibri"/>
                <w:color w:val="5A6A80"/>
                <w:sz w:val="20"/>
                <w:szCs w:val="20"/>
              </w:rPr>
              <w:t xml:space="preserve">A theme without OKRs cannot be tracked, and an untracked theme quietly disappears from planning within a quarter. Define key results in the same session, not as a follow-up.</w:t>
            </w:r>
          </w:p>
        </w:tc>
      </w:tr>
      <w:tr>
        <w:tc>
          <w:tcPr>
            <w:tcW w:type="pct" w:w="100%"/>
            <w:shd w:fill="FBEAE9" w:val="clear"/>
            <w:tcMar>
              <w:top w:type="dxa" w:w="120"/>
              <w:left w:type="dxa" w:w="160"/>
              <w:bottom w:type="dxa" w:w="120"/>
              <w:right w:type="dxa" w:w="160"/>
            </w:tcMar>
          </w:tcPr>
          <w:p>
            <w:pPr>
              <w:spacing w:after="40"/>
            </w:pPr>
            <w:r>
              <w:rPr>
                <w:rFonts w:ascii="Calibri" w:cs="Calibri" w:eastAsia="Calibri" w:hAnsi="Calibri"/>
                <w:b/>
                <w:bCs/>
                <w:color w:val="C0392B"/>
                <w:sz w:val="21"/>
                <w:szCs w:val="21"/>
              </w:rPr>
              <w:t xml:space="preserve">Themes That Never Reach the ARTs</w:t>
            </w:r>
          </w:p>
          <w:p>
            <w:r>
              <w:rPr>
                <w:rFonts w:ascii="Calibri" w:cs="Calibri" w:eastAsia="Calibri" w:hAnsi="Calibri"/>
                <w:color w:val="5A6A80"/>
                <w:sz w:val="20"/>
                <w:szCs w:val="20"/>
              </w:rPr>
              <w:t xml:space="preserve">The workshop's output is only valuable if it changes what teams actually work on. Without a clear communication and portfolio-backlog plan, themes stay a leadership artifact.</w:t>
            </w:r>
          </w:p>
        </w:tc>
      </w:tr>
    </w:tbl>
    <w:p>
      <w:r>
        <w:br w:type="page"/>
      </w:r>
    </w:p>
    <w:p>
      <w:pPr>
        <w:pStyle w:val="Heading1"/>
        <w:spacing w:after="160" w:before="320"/>
      </w:pPr>
      <w:r>
        <w:rPr>
          <w:rFonts w:ascii="Cambria" w:cs="Cambria" w:eastAsia="Cambria" w:hAnsi="Cambria"/>
          <w:b/>
          <w:bCs/>
          <w:color w:val="0D2849"/>
          <w:sz w:val="30"/>
          <w:szCs w:val="30"/>
        </w:rPr>
        <w:t xml:space="preserve">After the Workshop</w:t>
      </w:r>
    </w:p>
    <w:p>
      <w:pPr>
        <w:spacing w:after="160"/>
      </w:pPr>
      <w:r>
        <w:rPr>
          <w:rFonts w:ascii="Calibri" w:cs="Calibri" w:eastAsia="Calibri" w:hAnsi="Calibri"/>
          <w:color w:val="222222"/>
          <w:sz w:val="22"/>
          <w:szCs w:val="22"/>
        </w:rPr>
        <w:t xml:space="preserve">A successful Strategic Themes session produces a small set of refined themes with defined OKRs — but themes only create value once ARTs and teams actually use them to prioritize work. What happens in the days after the session determines whether that happens.</w:t>
      </w:r>
    </w:p>
    <w:p>
      <w:pPr>
        <w:pStyle w:val="Heading2"/>
        <w:spacing w:after="120" w:before="240"/>
      </w:pPr>
      <w:r>
        <w:rPr>
          <w:rFonts w:ascii="Cambria" w:cs="Cambria" w:eastAsia="Cambria" w:hAnsi="Cambria"/>
          <w:b/>
          <w:bCs/>
          <w:color w:val="0D2849"/>
          <w:sz w:val="24"/>
          <w:szCs w:val="24"/>
        </w:rPr>
        <w:t xml:space="preserve">Expected Outputs</w:t>
      </w:r>
    </w:p>
    <w:p>
      <w:pPr>
        <w:pStyle w:val="ListParagraph"/>
        <w:numPr>
          <w:ilvl w:val="0"/>
          <w:numId w:val="2"/>
        </w:numPr>
        <w:spacing w:after="90"/>
      </w:pPr>
      <w:r>
        <w:rPr>
          <w:rFonts w:ascii="Calibri" w:cs="Calibri" w:eastAsia="Calibri" w:hAnsi="Calibri"/>
          <w:color w:val="222222"/>
          <w:sz w:val="22"/>
          <w:szCs w:val="22"/>
        </w:rPr>
        <w:t xml:space="preserve">3–5 Refined Strategic Theme Statements</w:t>
      </w:r>
    </w:p>
    <w:p>
      <w:pPr>
        <w:pStyle w:val="ListParagraph"/>
        <w:numPr>
          <w:ilvl w:val="0"/>
          <w:numId w:val="2"/>
        </w:numPr>
        <w:spacing w:after="90"/>
      </w:pPr>
      <w:r>
        <w:rPr>
          <w:rFonts w:ascii="Calibri" w:cs="Calibri" w:eastAsia="Calibri" w:hAnsi="Calibri"/>
          <w:color w:val="222222"/>
          <w:sz w:val="22"/>
          <w:szCs w:val="22"/>
        </w:rPr>
        <w:t xml:space="preserve">OKRs per Theme (Key Results, Owner, Measurement Frequency)</w:t>
      </w:r>
    </w:p>
    <w:p>
      <w:pPr>
        <w:pStyle w:val="ListParagraph"/>
        <w:numPr>
          <w:ilvl w:val="0"/>
          <w:numId w:val="2"/>
        </w:numPr>
        <w:spacing w:after="90"/>
      </w:pPr>
      <w:r>
        <w:rPr>
          <w:rFonts w:ascii="Calibri" w:cs="Calibri" w:eastAsia="Calibri" w:hAnsi="Calibri"/>
          <w:color w:val="222222"/>
          <w:sz w:val="22"/>
          <w:szCs w:val="22"/>
        </w:rPr>
        <w:t xml:space="preserve">Portfolio Backlog Prioritization Guidance</w:t>
      </w:r>
    </w:p>
    <w:p>
      <w:pPr>
        <w:pStyle w:val="ListParagraph"/>
        <w:numPr>
          <w:ilvl w:val="0"/>
          <w:numId w:val="2"/>
        </w:numPr>
        <w:spacing w:after="90"/>
      </w:pPr>
      <w:r>
        <w:rPr>
          <w:rFonts w:ascii="Calibri" w:cs="Calibri" w:eastAsia="Calibri" w:hAnsi="Calibri"/>
          <w:color w:val="222222"/>
          <w:sz w:val="22"/>
          <w:szCs w:val="22"/>
        </w:rPr>
        <w:t xml:space="preserve">ART / Value Stream Investment Implications</w:t>
      </w:r>
    </w:p>
    <w:p>
      <w:pPr>
        <w:pStyle w:val="ListParagraph"/>
        <w:numPr>
          <w:ilvl w:val="0"/>
          <w:numId w:val="2"/>
        </w:numPr>
        <w:spacing w:after="90"/>
      </w:pPr>
      <w:r>
        <w:rPr>
          <w:rFonts w:ascii="Calibri" w:cs="Calibri" w:eastAsia="Calibri" w:hAnsi="Calibri"/>
          <w:color w:val="222222"/>
          <w:sz w:val="22"/>
          <w:szCs w:val="22"/>
        </w:rPr>
        <w:t xml:space="preserve">Communication Plan to ARTs and Teams</w:t>
      </w:r>
    </w:p>
    <w:p>
      <w:pPr>
        <w:spacing w:after="160"/>
      </w:pPr>
      <w:r>
        <w:rPr>
          <w:rFonts w:ascii="Calibri" w:cs="Calibri" w:eastAsia="Calibri" w:hAnsi="Calibri"/>
          <w:color w:val="222222"/>
          <w:sz w:val="22"/>
          <w:szCs w:val="22"/>
        </w:rPr>
        <w:t xml:space="preserve">Share the finalized themes with portfolio leads, RTEs, and ARTs as soon as possible after the session. Themes that sit unshared for weeks lose the executive momentum that made them credible in the first place.</w:t>
      </w:r>
    </w:p>
    <w:p>
      <w:pPr>
        <w:pStyle w:val="Heading2"/>
        <w:spacing w:after="120" w:before="240"/>
      </w:pPr>
      <w:r>
        <w:rPr>
          <w:rFonts w:ascii="Cambria" w:cs="Cambria" w:eastAsia="Cambria" w:hAnsi="Cambria"/>
          <w:b/>
          <w:bCs/>
          <w:color w:val="0D2849"/>
          <w:sz w:val="24"/>
          <w:szCs w:val="24"/>
        </w:rPr>
        <w:t xml:space="preserve">Session Summary Email Template</w:t>
      </w:r>
    </w:p>
    <w:p>
      <w:pPr>
        <w:spacing w:after="100"/>
      </w:pPr>
      <w:r>
        <w:rPr>
          <w:rFonts w:ascii="Calibri" w:cs="Calibri" w:eastAsia="Calibri" w:hAnsi="Calibri"/>
          <w:b/>
          <w:bCs/>
          <w:color w:val="0D2849"/>
          <w:sz w:val="20"/>
          <w:szCs w:val="20"/>
        </w:rPr>
        <w:t xml:space="preserve">Subject: Strategic Themes — [Planning Horizon] — Session Summary and Next Steps</w:t>
      </w:r>
    </w:p>
    <w:p>
      <w:pPr>
        <w:spacing w:after="160"/>
      </w:pPr>
      <w:r>
        <w:rPr>
          <w:rFonts w:ascii="Calibri" w:cs="Calibri" w:eastAsia="Calibri" w:hAnsi="Calibri"/>
          <w:color w:val="222222"/>
          <w:sz w:val="22"/>
          <w:szCs w:val="22"/>
        </w:rPr>
        <w:t xml:space="preserve">Dear [Leadership and Stakeholders],</w:t>
      </w:r>
    </w:p>
    <w:p>
      <w:pPr>
        <w:spacing w:after="160"/>
      </w:pPr>
      <w:r>
        <w:rPr>
          <w:rFonts w:ascii="Calibri" w:cs="Calibri" w:eastAsia="Calibri" w:hAnsi="Calibri"/>
          <w:color w:val="222222"/>
          <w:sz w:val="22"/>
          <w:szCs w:val="22"/>
        </w:rPr>
        <w:t xml:space="preserve">Following our Strategic Themes session, we have finalized [number] strategic themes for [Planning Horizon], each with defined key results and portfolio implications.</w:t>
      </w:r>
    </w:p>
    <w:p>
      <w:pPr>
        <w:spacing w:after="60"/>
      </w:pPr>
      <w:r>
        <w:rPr>
          <w:rFonts w:ascii="Calibri" w:cs="Calibri" w:eastAsia="Calibri" w:hAnsi="Calibri"/>
          <w:b/>
          <w:bCs/>
          <w:color w:val="0D2849"/>
          <w:sz w:val="21"/>
          <w:szCs w:val="21"/>
        </w:rPr>
        <w:t xml:space="preserve">Key Outcomes</w:t>
      </w:r>
    </w:p>
    <w:p>
      <w:pPr>
        <w:pStyle w:val="ListParagraph"/>
        <w:numPr>
          <w:ilvl w:val="0"/>
          <w:numId w:val="2"/>
        </w:numPr>
        <w:spacing w:after="90"/>
      </w:pPr>
      <w:r>
        <w:rPr>
          <w:rFonts w:ascii="Calibri" w:cs="Calibri" w:eastAsia="Calibri" w:hAnsi="Calibri"/>
          <w:color w:val="222222"/>
          <w:sz w:val="22"/>
          <w:szCs w:val="22"/>
        </w:rPr>
        <w:t xml:space="preserve">Refined Strategic Themes: the final theme statements agreed by the group.</w:t>
      </w:r>
    </w:p>
    <w:p>
      <w:pPr>
        <w:pStyle w:val="ListParagraph"/>
        <w:numPr>
          <w:ilvl w:val="0"/>
          <w:numId w:val="2"/>
        </w:numPr>
        <w:spacing w:after="90"/>
      </w:pPr>
      <w:r>
        <w:rPr>
          <w:rFonts w:ascii="Calibri" w:cs="Calibri" w:eastAsia="Calibri" w:hAnsi="Calibri"/>
          <w:color w:val="222222"/>
          <w:sz w:val="22"/>
          <w:szCs w:val="22"/>
        </w:rPr>
        <w:t xml:space="preserve">OKRs: key results, owners, and measurement frequency for each theme.</w:t>
      </w:r>
    </w:p>
    <w:p>
      <w:pPr>
        <w:pStyle w:val="ListParagraph"/>
        <w:numPr>
          <w:ilvl w:val="0"/>
          <w:numId w:val="2"/>
        </w:numPr>
        <w:spacing w:after="90"/>
      </w:pPr>
      <w:r>
        <w:rPr>
          <w:rFonts w:ascii="Calibri" w:cs="Calibri" w:eastAsia="Calibri" w:hAnsi="Calibri"/>
          <w:color w:val="222222"/>
          <w:sz w:val="22"/>
          <w:szCs w:val="22"/>
        </w:rPr>
        <w:t xml:space="preserve">Portfolio Implications: guidance on how each theme should influence backlog prioritization and ART investment.</w:t>
      </w:r>
    </w:p>
    <w:p>
      <w:pPr>
        <w:spacing w:after="60" w:before="120"/>
      </w:pPr>
      <w:r>
        <w:rPr>
          <w:rFonts w:ascii="Calibri" w:cs="Calibri" w:eastAsia="Calibri" w:hAnsi="Calibri"/>
          <w:b/>
          <w:bCs/>
          <w:color w:val="0D2849"/>
          <w:sz w:val="21"/>
          <w:szCs w:val="21"/>
        </w:rPr>
        <w:t xml:space="preserve">Next Steps</w:t>
      </w:r>
    </w:p>
    <w:p>
      <w:pPr>
        <w:pStyle w:val="ListParagraph"/>
        <w:numPr>
          <w:ilvl w:val="0"/>
          <w:numId w:val="2"/>
        </w:numPr>
        <w:spacing w:after="90"/>
      </w:pPr>
      <w:r>
        <w:rPr>
          <w:rFonts w:ascii="Calibri" w:cs="Calibri" w:eastAsia="Calibri" w:hAnsi="Calibri"/>
          <w:color w:val="222222"/>
          <w:sz w:val="22"/>
          <w:szCs w:val="22"/>
        </w:rPr>
        <w:t xml:space="preserve">Communication: themes will be shared with all ARTs and teams by [date].</w:t>
      </w:r>
    </w:p>
    <w:p>
      <w:pPr>
        <w:pStyle w:val="ListParagraph"/>
        <w:numPr>
          <w:ilvl w:val="0"/>
          <w:numId w:val="2"/>
        </w:numPr>
        <w:spacing w:after="90"/>
      </w:pPr>
      <w:r>
        <w:rPr>
          <w:rFonts w:ascii="Calibri" w:cs="Calibri" w:eastAsia="Calibri" w:hAnsi="Calibri"/>
          <w:color w:val="222222"/>
          <w:sz w:val="22"/>
          <w:szCs w:val="22"/>
        </w:rPr>
        <w:t xml:space="preserve">Portfolio Backlog: portfolio leads will apply this guidance to the next backlog prioritization pass.</w:t>
      </w:r>
    </w:p>
    <w:p>
      <w:pPr>
        <w:pStyle w:val="ListParagraph"/>
        <w:numPr>
          <w:ilvl w:val="0"/>
          <w:numId w:val="2"/>
        </w:numPr>
        <w:spacing w:after="90"/>
      </w:pPr>
      <w:r>
        <w:rPr>
          <w:rFonts w:ascii="Calibri" w:cs="Calibri" w:eastAsia="Calibri" w:hAnsi="Calibri"/>
          <w:color w:val="222222"/>
          <w:sz w:val="22"/>
          <w:szCs w:val="22"/>
        </w:rPr>
        <w:t xml:space="preserve">Lean Budgeting: investment allocation will be reviewed against theme priority ahead of the next PI.</w:t>
      </w:r>
    </w:p>
    <w:p>
      <w:pPr>
        <w:spacing w:after="160"/>
      </w:pPr>
      <w:r>
        <w:rPr>
          <w:rFonts w:ascii="Calibri" w:cs="Calibri" w:eastAsia="Calibri" w:hAnsi="Calibri"/>
          <w:color w:val="222222"/>
          <w:sz w:val="22"/>
          <w:szCs w:val="22"/>
        </w:rPr>
        <w:t xml:space="preserve">Please review and share any feedback or questions before we finalize communication to the ARTs.</w:t>
      </w:r>
    </w:p>
    <w:p>
      <w:pPr>
        <w:spacing w:after="160"/>
      </w:pPr>
      <w:r>
        <w:rPr>
          <w:rFonts w:ascii="Calibri" w:cs="Calibri" w:eastAsia="Calibri" w:hAnsi="Calibri"/>
          <w:color w:val="222222"/>
          <w:sz w:val="22"/>
          <w:szCs w:val="22"/>
        </w:rPr>
        <w:t xml:space="preserve">Best regards, [Signature]</w:t>
      </w:r>
    </w:p>
    <w:p>
      <w:pPr>
        <w:pStyle w:val="Heading2"/>
        <w:spacing w:after="120" w:before="240"/>
      </w:pPr>
      <w:r>
        <w:rPr>
          <w:rFonts w:ascii="Cambria" w:cs="Cambria" w:eastAsia="Cambria" w:hAnsi="Cambria"/>
          <w:b/>
          <w:bCs/>
          <w:color w:val="0D2849"/>
          <w:sz w:val="24"/>
          <w:szCs w:val="24"/>
        </w:rPr>
        <w:t xml:space="preserve">Ongoing Next Steps</w:t>
      </w:r>
    </w:p>
    <w:p>
      <w:pPr>
        <w:pStyle w:val="ListParagraph"/>
        <w:numPr>
          <w:ilvl w:val="0"/>
          <w:numId w:val="2"/>
        </w:numPr>
        <w:spacing w:after="90"/>
      </w:pPr>
      <w:r>
        <w:rPr>
          <w:rFonts w:ascii="Calibri" w:cs="Calibri" w:eastAsia="Calibri" w:hAnsi="Calibri"/>
          <w:color w:val="222222"/>
          <w:sz w:val="22"/>
          <w:szCs w:val="22"/>
        </w:rPr>
        <w:t xml:space="preserve">Share finalized theme statements and OKRs with all ARTs, RTEs, and portfolio leads</w:t>
      </w:r>
    </w:p>
    <w:p>
      <w:pPr>
        <w:pStyle w:val="ListParagraph"/>
        <w:numPr>
          <w:ilvl w:val="0"/>
          <w:numId w:val="2"/>
        </w:numPr>
        <w:spacing w:after="90"/>
      </w:pPr>
      <w:r>
        <w:rPr>
          <w:rFonts w:ascii="Calibri" w:cs="Calibri" w:eastAsia="Calibri" w:hAnsi="Calibri"/>
          <w:color w:val="222222"/>
          <w:sz w:val="22"/>
          <w:szCs w:val="22"/>
        </w:rPr>
        <w:t xml:space="preserve">Apply theme guidance to the next portfolio backlog prioritization and Lean Budgeting review</w:t>
      </w:r>
    </w:p>
    <w:p>
      <w:pPr>
        <w:pStyle w:val="ListParagraph"/>
        <w:numPr>
          <w:ilvl w:val="0"/>
          <w:numId w:val="2"/>
        </w:numPr>
        <w:spacing w:after="90"/>
      </w:pPr>
      <w:r>
        <w:rPr>
          <w:rFonts w:ascii="Calibri" w:cs="Calibri" w:eastAsia="Calibri" w:hAnsi="Calibri"/>
          <w:color w:val="222222"/>
          <w:sz w:val="22"/>
          <w:szCs w:val="22"/>
        </w:rPr>
        <w:t xml:space="preserve">Track OKR progress at the defined measurement frequency and report status to the executive sponsor</w:t>
      </w:r>
    </w:p>
    <w:p>
      <w:pPr>
        <w:pStyle w:val="ListParagraph"/>
        <w:numPr>
          <w:ilvl w:val="0"/>
          <w:numId w:val="2"/>
        </w:numPr>
        <w:spacing w:after="90"/>
      </w:pPr>
      <w:r>
        <w:rPr>
          <w:rFonts w:ascii="Calibri" w:cs="Calibri" w:eastAsia="Calibri" w:hAnsi="Calibri"/>
          <w:color w:val="222222"/>
          <w:sz w:val="22"/>
          <w:szCs w:val="22"/>
        </w:rPr>
        <w:t xml:space="preserve">Revisit themes at the next planning horizon rather than letting them persist unreviewed</w:t>
      </w:r>
    </w:p>
    <w:p>
      <w:pPr>
        <w:pStyle w:val="ListParagraph"/>
        <w:numPr>
          <w:ilvl w:val="0"/>
          <w:numId w:val="2"/>
        </w:numPr>
        <w:spacing w:after="90"/>
      </w:pPr>
      <w:r>
        <w:rPr>
          <w:rFonts w:ascii="Calibri" w:cs="Calibri" w:eastAsia="Calibri" w:hAnsi="Calibri"/>
          <w:color w:val="222222"/>
          <w:sz w:val="22"/>
          <w:szCs w:val="22"/>
        </w:rPr>
        <w:t xml:space="preserve">Reflect on the workshop process — note where alignment was hardest to reach and use that to improve future sessions</w:t>
      </w:r>
    </w:p>
    <w:p>
      <w:pPr>
        <w:pBdr>
          <w:bottom w:val="single" w:color="CBD1D7" w:sz="6" w:space="1"/>
        </w:pBdr>
        <w:spacing w:after="200"/>
      </w:pPr>
    </w:p>
    <w:p>
      <w:pPr>
        <w:spacing w:before="200"/>
        <w:jc w:val="center"/>
      </w:pPr>
      <w:r>
        <w:rPr>
          <w:rFonts w:ascii="Calibri" w:cs="Calibri" w:eastAsia="Calibri" w:hAnsi="Calibri"/>
          <w:b/>
          <w:bCs/>
          <w:color w:val="0D2849"/>
          <w:spacing w:val="20"/>
          <w:sz w:val="18"/>
          <w:szCs w:val="18"/>
        </w:rPr>
        <w:t xml:space="preserve">STEPHENS INSIGHT GROUP</w:t>
      </w:r>
    </w:p>
    <w:p>
      <w:pPr>
        <w:jc w:val="center"/>
      </w:pPr>
      <w:r>
        <w:rPr>
          <w:rFonts w:ascii="Calibri" w:cs="Calibri" w:eastAsia="Calibri" w:hAnsi="Calibri"/>
          <w:color w:val="5A6A80"/>
          <w:sz w:val="18"/>
          <w:szCs w:val="18"/>
        </w:rPr>
        <w:t xml:space="preserve">stephensinsightgroup.com  •  info@stephensinsightgroup.com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2026-07-28T17:36:51.093Z</dcterms:created>
  <dcterms:modified xsi:type="dcterms:W3CDTF">2026-07-28T17:36:51.096Z</dcterms:modified>
</cp:coreProperties>
</file>

<file path=docProps/custom.xml><?xml version="1.0" encoding="utf-8"?>
<Properties xmlns="http://schemas.openxmlformats.org/officeDocument/2006/custom-properties" xmlns:vt="http://schemas.openxmlformats.org/officeDocument/2006/docPropsVTypes"/>
</file>